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41E8A" w:rsidRDefault="00EE1404">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2" w14:textId="77777777" w:rsidR="00D41E8A" w:rsidRDefault="00EE1404">
      <w:pPr>
        <w:pBdr>
          <w:top w:val="nil"/>
          <w:left w:val="nil"/>
          <w:bottom w:val="nil"/>
          <w:right w:val="nil"/>
          <w:between w:val="nil"/>
        </w:pBdr>
        <w:tabs>
          <w:tab w:val="left" w:pos="709"/>
          <w:tab w:val="left" w:pos="1134"/>
        </w:tabs>
        <w:spacing w:before="120" w:after="120" w:line="240" w:lineRule="auto"/>
        <w:rPr>
          <w:rFonts w:ascii="Arial" w:eastAsia="Arial" w:hAnsi="Arial" w:cs="Arial"/>
          <w:sz w:val="24"/>
          <w:szCs w:val="24"/>
        </w:rPr>
      </w:pPr>
      <w:bookmarkStart w:id="0" w:name="_heading=h.gjdgxs" w:colFirst="0" w:colLast="0"/>
      <w:bookmarkEnd w:id="0"/>
      <w:r>
        <w:rPr>
          <w:rFonts w:ascii="Arial" w:eastAsia="Arial" w:hAnsi="Arial" w:cs="Arial"/>
          <w:color w:val="000000"/>
          <w:sz w:val="24"/>
          <w:szCs w:val="24"/>
        </w:rPr>
        <w:t xml:space="preserve">This Schedule sets out the characteristics of the Deliverables that the Supplier will be required to make to the Buyers under this Call-Off Contract outside of the fixed </w:t>
      </w:r>
      <w:r>
        <w:rPr>
          <w:rFonts w:ascii="Arial" w:eastAsia="Arial" w:hAnsi="Arial" w:cs="Arial"/>
          <w:sz w:val="24"/>
          <w:szCs w:val="24"/>
        </w:rPr>
        <w:t>precise</w:t>
      </w:r>
      <w:r>
        <w:rPr>
          <w:rFonts w:ascii="Arial" w:eastAsia="Arial" w:hAnsi="Arial" w:cs="Arial"/>
          <w:color w:val="000000"/>
          <w:sz w:val="24"/>
          <w:szCs w:val="24"/>
        </w:rPr>
        <w:t xml:space="preserve"> deliverables detailed in schedule 13.</w:t>
      </w:r>
    </w:p>
    <w:p w14:paraId="00000003" w14:textId="77777777" w:rsidR="00D41E8A" w:rsidRDefault="00D41E8A">
      <w:pPr>
        <w:pBdr>
          <w:top w:val="nil"/>
          <w:left w:val="nil"/>
          <w:bottom w:val="nil"/>
          <w:right w:val="nil"/>
          <w:between w:val="nil"/>
        </w:pBdr>
        <w:tabs>
          <w:tab w:val="left" w:pos="709"/>
          <w:tab w:val="left" w:pos="1134"/>
        </w:tabs>
        <w:spacing w:before="120" w:after="120" w:line="240" w:lineRule="auto"/>
        <w:rPr>
          <w:rFonts w:ascii="Arial" w:eastAsia="Arial" w:hAnsi="Arial" w:cs="Arial"/>
          <w:sz w:val="24"/>
          <w:szCs w:val="24"/>
        </w:rPr>
      </w:pPr>
      <w:bookmarkStart w:id="1" w:name="_heading=h.la0l46d3gt6" w:colFirst="0" w:colLast="0"/>
      <w:bookmarkEnd w:id="1"/>
    </w:p>
    <w:p w14:paraId="00000004" w14:textId="77777777" w:rsidR="00D41E8A" w:rsidRDefault="00EE1404">
      <w:pPr>
        <w:pStyle w:val="Heading1"/>
        <w:keepLines w:val="0"/>
        <w:numPr>
          <w:ilvl w:val="0"/>
          <w:numId w:val="1"/>
        </w:numPr>
        <w:spacing w:before="0" w:after="120" w:line="240" w:lineRule="auto"/>
        <w:jc w:val="both"/>
        <w:rPr>
          <w:rFonts w:ascii="Arial" w:eastAsia="Arial" w:hAnsi="Arial" w:cs="Arial"/>
          <w:sz w:val="32"/>
          <w:szCs w:val="32"/>
        </w:rPr>
      </w:pPr>
      <w:bookmarkStart w:id="2" w:name="_heading=h.3dy6vkm" w:colFirst="0" w:colLast="0"/>
      <w:bookmarkEnd w:id="2"/>
      <w:r>
        <w:rPr>
          <w:rFonts w:ascii="Arial" w:eastAsia="Arial" w:hAnsi="Arial" w:cs="Arial"/>
          <w:smallCaps/>
          <w:color w:val="000000"/>
          <w:sz w:val="32"/>
          <w:szCs w:val="32"/>
        </w:rPr>
        <w:t>BACKGROUND TO THE CONTRACTING AUTHORITY</w:t>
      </w:r>
    </w:p>
    <w:p w14:paraId="00000005" w14:textId="77777777" w:rsidR="00D41E8A" w:rsidRDefault="00EE1404">
      <w:pPr>
        <w:numPr>
          <w:ilvl w:val="1"/>
          <w:numId w:val="1"/>
        </w:numPr>
        <w:spacing w:line="240" w:lineRule="auto"/>
        <w:jc w:val="both"/>
        <w:rPr>
          <w:sz w:val="26"/>
          <w:szCs w:val="26"/>
        </w:rPr>
      </w:pPr>
      <w:r>
        <w:rPr>
          <w:rFonts w:ascii="Arial" w:eastAsia="Arial" w:hAnsi="Arial" w:cs="Arial"/>
          <w:sz w:val="24"/>
          <w:szCs w:val="24"/>
          <w:highlight w:val="white"/>
        </w:rPr>
        <w:t>The Cabinet Office is a central government department of the United Kingdom, which is responsible for supporting the prime minister and Cabinet. Cabinet Office forms the corpor</w:t>
      </w:r>
      <w:r>
        <w:rPr>
          <w:rFonts w:ascii="Arial" w:eastAsia="Arial" w:hAnsi="Arial" w:cs="Arial"/>
          <w:sz w:val="24"/>
          <w:szCs w:val="24"/>
          <w:highlight w:val="white"/>
        </w:rPr>
        <w:t>ate headquarters for government, in partnership with </w:t>
      </w:r>
      <w:r>
        <w:rPr>
          <w:rFonts w:ascii="Arial" w:eastAsia="Arial" w:hAnsi="Arial" w:cs="Arial"/>
          <w:sz w:val="24"/>
          <w:szCs w:val="24"/>
        </w:rPr>
        <w:t>HM</w:t>
      </w:r>
      <w:r>
        <w:rPr>
          <w:rFonts w:ascii="Arial" w:eastAsia="Arial" w:hAnsi="Arial" w:cs="Arial"/>
          <w:sz w:val="24"/>
          <w:szCs w:val="24"/>
          <w:highlight w:val="white"/>
        </w:rPr>
        <w:t> Treasury, and takes the lead in certain critical policy areas. It is composed of various units that support Cabinet committees and which coordinate the delivery of government objectives via other depa</w:t>
      </w:r>
      <w:r>
        <w:rPr>
          <w:rFonts w:ascii="Arial" w:eastAsia="Arial" w:hAnsi="Arial" w:cs="Arial"/>
          <w:sz w:val="24"/>
          <w:szCs w:val="24"/>
          <w:highlight w:val="white"/>
        </w:rPr>
        <w:t>rtments ensuring all Departments are able to deliver on the Prime Minister’s ambition.</w:t>
      </w:r>
    </w:p>
    <w:p w14:paraId="00000006" w14:textId="77777777" w:rsidR="00D41E8A" w:rsidRDefault="00D41E8A">
      <w:pPr>
        <w:tabs>
          <w:tab w:val="left" w:pos="1134"/>
        </w:tabs>
        <w:spacing w:after="0" w:line="240" w:lineRule="auto"/>
        <w:ind w:left="567" w:hanging="357"/>
        <w:jc w:val="both"/>
        <w:rPr>
          <w:rFonts w:ascii="Arial" w:eastAsia="Arial" w:hAnsi="Arial" w:cs="Arial"/>
          <w:sz w:val="24"/>
          <w:szCs w:val="24"/>
        </w:rPr>
      </w:pPr>
    </w:p>
    <w:p w14:paraId="00000007" w14:textId="77777777" w:rsidR="00D41E8A" w:rsidRDefault="00EE1404">
      <w:pPr>
        <w:pStyle w:val="Heading1"/>
        <w:keepLines w:val="0"/>
        <w:numPr>
          <w:ilvl w:val="0"/>
          <w:numId w:val="1"/>
        </w:numPr>
        <w:spacing w:before="0" w:after="120" w:line="240" w:lineRule="auto"/>
        <w:jc w:val="both"/>
        <w:rPr>
          <w:rFonts w:ascii="Arial" w:eastAsia="Arial" w:hAnsi="Arial" w:cs="Arial"/>
          <w:sz w:val="32"/>
          <w:szCs w:val="32"/>
        </w:rPr>
      </w:pPr>
      <w:bookmarkStart w:id="3" w:name="_heading=h.1t3h5sf" w:colFirst="0" w:colLast="0"/>
      <w:bookmarkEnd w:id="3"/>
      <w:r>
        <w:rPr>
          <w:rFonts w:ascii="Arial" w:eastAsia="Arial" w:hAnsi="Arial" w:cs="Arial"/>
          <w:smallCaps/>
          <w:color w:val="000000"/>
          <w:sz w:val="32"/>
          <w:szCs w:val="32"/>
        </w:rPr>
        <w:t>BACKGROUND TO REQUIREMENT/OVERVIEW OF REQUIREMENT</w:t>
      </w:r>
    </w:p>
    <w:p w14:paraId="00000008" w14:textId="77777777" w:rsidR="00D41E8A" w:rsidRDefault="00EE1404">
      <w:pPr>
        <w:numPr>
          <w:ilvl w:val="1"/>
          <w:numId w:val="1"/>
        </w:numPr>
        <w:spacing w:line="240" w:lineRule="auto"/>
        <w:jc w:val="both"/>
      </w:pPr>
      <w:r>
        <w:rPr>
          <w:rFonts w:ascii="Arial" w:eastAsia="Arial" w:hAnsi="Arial" w:cs="Arial"/>
          <w:color w:val="000000"/>
          <w:sz w:val="24"/>
          <w:szCs w:val="24"/>
          <w:highlight w:val="white"/>
        </w:rPr>
        <w:t>The findings of the Internal Maude review into Shared Services (March 2021), led to a revised Shared Services Strategy</w:t>
      </w:r>
      <w:r>
        <w:rPr>
          <w:rFonts w:ascii="Arial" w:eastAsia="Arial" w:hAnsi="Arial" w:cs="Arial"/>
          <w:color w:val="000000"/>
          <w:sz w:val="24"/>
          <w:szCs w:val="24"/>
          <w:highlight w:val="white"/>
        </w:rPr>
        <w:t xml:space="preserve"> for Government. This revised strategy saw the formation of five departmental clusters and alignment on technology and strategic direction, which removed the individual sourcing approach which was being conducted by the majority of departments. </w:t>
      </w:r>
    </w:p>
    <w:p w14:paraId="00000009" w14:textId="77777777" w:rsidR="00D41E8A" w:rsidRDefault="00D41E8A">
      <w:pPr>
        <w:spacing w:after="0" w:line="240" w:lineRule="auto"/>
        <w:ind w:left="720"/>
        <w:rPr>
          <w:rFonts w:ascii="Arial" w:eastAsia="Arial" w:hAnsi="Arial" w:cs="Arial"/>
        </w:rPr>
      </w:pPr>
    </w:p>
    <w:p w14:paraId="0000000A" w14:textId="77777777" w:rsidR="00D41E8A" w:rsidRDefault="00EE1404">
      <w:pPr>
        <w:numPr>
          <w:ilvl w:val="1"/>
          <w:numId w:val="1"/>
        </w:numPr>
        <w:spacing w:line="240" w:lineRule="auto"/>
        <w:jc w:val="both"/>
      </w:pPr>
      <w:r>
        <w:rPr>
          <w:rFonts w:ascii="Arial" w:eastAsia="Arial" w:hAnsi="Arial" w:cs="Arial"/>
          <w:color w:val="000000"/>
          <w:sz w:val="24"/>
          <w:szCs w:val="24"/>
        </w:rPr>
        <w:t>As one of</w:t>
      </w:r>
      <w:r>
        <w:rPr>
          <w:rFonts w:ascii="Arial" w:eastAsia="Arial" w:hAnsi="Arial" w:cs="Arial"/>
          <w:color w:val="000000"/>
          <w:sz w:val="24"/>
          <w:szCs w:val="24"/>
        </w:rPr>
        <w:t xml:space="preserve"> the nine departments forming the ‘Matrix’ Cluster, we are now working on a collaborative solution to meet our joint Software as a Service (SaaS) Enterprise Resource Planning system and Business Process Outsource support needs, and therefore need to ensure</w:t>
      </w:r>
      <w:r>
        <w:rPr>
          <w:rFonts w:ascii="Arial" w:eastAsia="Arial" w:hAnsi="Arial" w:cs="Arial"/>
          <w:color w:val="000000"/>
          <w:sz w:val="24"/>
          <w:szCs w:val="24"/>
        </w:rPr>
        <w:t xml:space="preserve"> Cabinet Office receives an optimal solution to drive better Corporate Services for its </w:t>
      </w:r>
      <w:proofErr w:type="spellStart"/>
      <w:r>
        <w:rPr>
          <w:rFonts w:ascii="Arial" w:eastAsia="Arial" w:hAnsi="Arial" w:cs="Arial"/>
          <w:color w:val="000000"/>
          <w:sz w:val="24"/>
          <w:szCs w:val="24"/>
        </w:rPr>
        <w:t>approx</w:t>
      </w:r>
      <w:proofErr w:type="spellEnd"/>
      <w:r>
        <w:rPr>
          <w:rFonts w:ascii="Arial" w:eastAsia="Arial" w:hAnsi="Arial" w:cs="Arial"/>
          <w:color w:val="000000"/>
          <w:sz w:val="24"/>
          <w:szCs w:val="24"/>
        </w:rPr>
        <w:t xml:space="preserve"> 10,000 system users.</w:t>
      </w:r>
    </w:p>
    <w:p w14:paraId="0000000B" w14:textId="77777777" w:rsidR="00D41E8A" w:rsidRDefault="00EE1404">
      <w:pPr>
        <w:numPr>
          <w:ilvl w:val="1"/>
          <w:numId w:val="1"/>
        </w:numPr>
        <w:spacing w:after="0" w:line="240" w:lineRule="auto"/>
      </w:pPr>
      <w:r>
        <w:rPr>
          <w:rFonts w:ascii="Arial" w:eastAsia="Arial" w:hAnsi="Arial" w:cs="Arial"/>
          <w:sz w:val="24"/>
          <w:szCs w:val="24"/>
        </w:rPr>
        <w:t>We intend to consider and take account of all relevant social value themes and outcomes throughout our procurement, including:</w:t>
      </w:r>
    </w:p>
    <w:p w14:paraId="0000000C" w14:textId="77777777" w:rsidR="00D41E8A" w:rsidRDefault="00EE1404">
      <w:pPr>
        <w:numPr>
          <w:ilvl w:val="2"/>
          <w:numId w:val="1"/>
        </w:numPr>
        <w:spacing w:before="60" w:after="0"/>
        <w:rPr>
          <w:rFonts w:ascii="Arial" w:eastAsia="Arial" w:hAnsi="Arial" w:cs="Arial"/>
          <w:sz w:val="24"/>
          <w:szCs w:val="24"/>
        </w:rPr>
      </w:pPr>
      <w:r>
        <w:rPr>
          <w:rFonts w:ascii="Arial" w:eastAsia="Arial" w:hAnsi="Arial" w:cs="Arial"/>
          <w:sz w:val="24"/>
          <w:szCs w:val="24"/>
        </w:rPr>
        <w:t>The minimising of any potential environmental impacts of undertaking this project</w:t>
      </w:r>
    </w:p>
    <w:p w14:paraId="0000000D" w14:textId="77777777" w:rsidR="00D41E8A" w:rsidRDefault="00EE1404">
      <w:pPr>
        <w:numPr>
          <w:ilvl w:val="2"/>
          <w:numId w:val="1"/>
        </w:numPr>
        <w:spacing w:before="60" w:after="0"/>
        <w:rPr>
          <w:rFonts w:ascii="Arial" w:eastAsia="Arial" w:hAnsi="Arial" w:cs="Arial"/>
          <w:sz w:val="24"/>
          <w:szCs w:val="24"/>
        </w:rPr>
      </w:pPr>
      <w:r>
        <w:rPr>
          <w:rFonts w:ascii="Arial" w:eastAsia="Arial" w:hAnsi="Arial" w:cs="Arial"/>
          <w:sz w:val="24"/>
          <w:szCs w:val="24"/>
        </w:rPr>
        <w:t>Tackling regional workforce inequality in the delivery of this project</w:t>
      </w:r>
    </w:p>
    <w:p w14:paraId="0000000E" w14:textId="77777777" w:rsidR="00D41E8A" w:rsidRDefault="00EE1404">
      <w:pPr>
        <w:numPr>
          <w:ilvl w:val="2"/>
          <w:numId w:val="1"/>
        </w:numPr>
        <w:spacing w:after="60"/>
        <w:rPr>
          <w:rFonts w:ascii="Arial" w:eastAsia="Arial" w:hAnsi="Arial" w:cs="Arial"/>
          <w:sz w:val="24"/>
          <w:szCs w:val="24"/>
        </w:rPr>
      </w:pPr>
      <w:r>
        <w:rPr>
          <w:rFonts w:ascii="Arial" w:eastAsia="Arial" w:hAnsi="Arial" w:cs="Arial"/>
          <w:sz w:val="24"/>
          <w:szCs w:val="24"/>
        </w:rPr>
        <w:t>How the health and wellbeing of those actively deployed onto the project will be monitored and managed</w:t>
      </w:r>
    </w:p>
    <w:p w14:paraId="00000011" w14:textId="77777777" w:rsidR="00D41E8A" w:rsidRDefault="00EE1404">
      <w:pPr>
        <w:numPr>
          <w:ilvl w:val="1"/>
          <w:numId w:val="1"/>
        </w:numPr>
        <w:spacing w:before="240" w:after="120" w:line="240" w:lineRule="auto"/>
        <w:jc w:val="both"/>
        <w:rPr>
          <w:b/>
        </w:rPr>
      </w:pPr>
      <w:r>
        <w:rPr>
          <w:rFonts w:ascii="Arial" w:eastAsia="Arial" w:hAnsi="Arial" w:cs="Arial"/>
          <w:b/>
          <w:smallCaps/>
          <w:color w:val="000000"/>
          <w:sz w:val="32"/>
          <w:szCs w:val="32"/>
        </w:rPr>
        <w:t xml:space="preserve">SCOPE OF REQUIREMENT </w:t>
      </w:r>
    </w:p>
    <w:p w14:paraId="00000012" w14:textId="77777777" w:rsidR="00D41E8A" w:rsidRDefault="00EE1404">
      <w:pPr>
        <w:numPr>
          <w:ilvl w:val="1"/>
          <w:numId w:val="1"/>
        </w:numPr>
        <w:spacing w:before="240" w:after="120" w:line="240" w:lineRule="auto"/>
        <w:jc w:val="both"/>
      </w:pPr>
      <w:r>
        <w:rPr>
          <w:rFonts w:ascii="Arial" w:eastAsia="Arial" w:hAnsi="Arial" w:cs="Arial"/>
          <w:color w:val="000000"/>
          <w:sz w:val="24"/>
          <w:szCs w:val="24"/>
          <w:highlight w:val="white"/>
        </w:rPr>
        <w:t>A system implementation partner has now been procured by the Matrix Programme team to deliver a new Workday SaaS ERP system for all nine departments within the Matrix Cluster.</w:t>
      </w:r>
    </w:p>
    <w:p w14:paraId="00000013" w14:textId="77777777" w:rsidR="00D41E8A" w:rsidRDefault="00EE1404">
      <w:pPr>
        <w:numPr>
          <w:ilvl w:val="1"/>
          <w:numId w:val="1"/>
        </w:numPr>
        <w:spacing w:before="240" w:after="120" w:line="240" w:lineRule="auto"/>
        <w:jc w:val="both"/>
      </w:pPr>
      <w:r>
        <w:rPr>
          <w:rFonts w:ascii="Arial" w:eastAsia="Arial" w:hAnsi="Arial" w:cs="Arial"/>
          <w:color w:val="000000"/>
          <w:sz w:val="24"/>
          <w:szCs w:val="24"/>
          <w:highlight w:val="white"/>
        </w:rPr>
        <w:lastRenderedPageBreak/>
        <w:t>As we enter the detailed design stage of the programme w</w:t>
      </w:r>
      <w:r>
        <w:rPr>
          <w:rFonts w:ascii="Arial" w:eastAsia="Arial" w:hAnsi="Arial" w:cs="Arial"/>
          <w:color w:val="000000"/>
          <w:sz w:val="24"/>
          <w:szCs w:val="24"/>
          <w:highlight w:val="white"/>
        </w:rPr>
        <w:t xml:space="preserve">e require </w:t>
      </w:r>
      <w:r>
        <w:rPr>
          <w:rFonts w:ascii="Arial" w:eastAsia="Arial" w:hAnsi="Arial" w:cs="Arial"/>
          <w:color w:val="000000"/>
          <w:sz w:val="24"/>
          <w:szCs w:val="24"/>
        </w:rPr>
        <w:t>Client-side support to ‘face off’ to Matrix Central Team and the newly procured SI Partner through completion of a set of key deliverables which will help ensure all Cabinet Office department project responsibilities are completed to plan and</w:t>
      </w:r>
      <w:r>
        <w:rPr>
          <w:rFonts w:ascii="Arial" w:eastAsia="Arial" w:hAnsi="Arial" w:cs="Arial"/>
          <w:color w:val="000000"/>
          <w:sz w:val="24"/>
          <w:szCs w:val="24"/>
          <w:highlight w:val="white"/>
        </w:rPr>
        <w:t xml:space="preserve"> our</w:t>
      </w:r>
      <w:r>
        <w:rPr>
          <w:rFonts w:ascii="Arial" w:eastAsia="Arial" w:hAnsi="Arial" w:cs="Arial"/>
          <w:color w:val="000000"/>
          <w:sz w:val="24"/>
          <w:szCs w:val="24"/>
          <w:highlight w:val="white"/>
        </w:rPr>
        <w:t xml:space="preserve"> list of requirements, which essentially forms the blueprint of our system and process needs and is delivered to our satisfaction</w:t>
      </w:r>
    </w:p>
    <w:p w14:paraId="00000014" w14:textId="77777777" w:rsidR="00D41E8A" w:rsidRDefault="00EE1404">
      <w:pPr>
        <w:numPr>
          <w:ilvl w:val="1"/>
          <w:numId w:val="1"/>
        </w:numPr>
        <w:spacing w:before="240" w:after="120" w:line="240" w:lineRule="auto"/>
        <w:jc w:val="both"/>
      </w:pPr>
      <w:r>
        <w:rPr>
          <w:rFonts w:ascii="Arial" w:eastAsia="Arial" w:hAnsi="Arial" w:cs="Arial"/>
          <w:color w:val="000000"/>
          <w:sz w:val="24"/>
          <w:szCs w:val="24"/>
          <w:highlight w:val="white"/>
        </w:rPr>
        <w:t>The chosen Supplier will execute deliverables by engaging with internal Cabinet Office stakeholders as well as the Matrix prog</w:t>
      </w:r>
      <w:r>
        <w:rPr>
          <w:rFonts w:ascii="Arial" w:eastAsia="Arial" w:hAnsi="Arial" w:cs="Arial"/>
          <w:color w:val="000000"/>
          <w:sz w:val="24"/>
          <w:szCs w:val="24"/>
          <w:highlight w:val="white"/>
        </w:rPr>
        <w:t>ramme team as appropriate, to ensure critical design and build activities are completed to Cabinet Office’s requirements.</w:t>
      </w:r>
    </w:p>
    <w:p w14:paraId="00000015" w14:textId="77777777" w:rsidR="00D41E8A" w:rsidRDefault="00EE1404">
      <w:pPr>
        <w:numPr>
          <w:ilvl w:val="1"/>
          <w:numId w:val="1"/>
        </w:numPr>
        <w:spacing w:before="240" w:after="120" w:line="240" w:lineRule="auto"/>
        <w:jc w:val="both"/>
      </w:pPr>
      <w:r>
        <w:rPr>
          <w:rFonts w:ascii="Arial" w:eastAsia="Arial" w:hAnsi="Arial" w:cs="Arial"/>
          <w:color w:val="000000"/>
          <w:sz w:val="24"/>
          <w:szCs w:val="24"/>
          <w:highlight w:val="white"/>
        </w:rPr>
        <w:t>These activities and outputs will require pacey decision making and sensitive stakeholder engagement, ensuring the Matrix system is be</w:t>
      </w:r>
      <w:r>
        <w:rPr>
          <w:rFonts w:ascii="Arial" w:eastAsia="Arial" w:hAnsi="Arial" w:cs="Arial"/>
          <w:color w:val="000000"/>
          <w:sz w:val="24"/>
          <w:szCs w:val="24"/>
          <w:highlight w:val="white"/>
        </w:rPr>
        <w:t xml:space="preserve">ing developed with the SI Partner to meet our requirements, and that Cabinet Office stakeholders (Subject Matter </w:t>
      </w:r>
      <w:r>
        <w:rPr>
          <w:rFonts w:ascii="Arial" w:eastAsia="Arial" w:hAnsi="Arial" w:cs="Arial"/>
          <w:sz w:val="24"/>
          <w:szCs w:val="24"/>
          <w:highlight w:val="white"/>
        </w:rPr>
        <w:t>Experts</w:t>
      </w:r>
      <w:r>
        <w:rPr>
          <w:rFonts w:ascii="Arial" w:eastAsia="Arial" w:hAnsi="Arial" w:cs="Arial"/>
          <w:color w:val="000000"/>
          <w:sz w:val="24"/>
          <w:szCs w:val="24"/>
          <w:highlight w:val="white"/>
        </w:rPr>
        <w:t xml:space="preserve"> &amp; Process Owners) understand and are content with the Matrix solution being developed by the SI Partner.</w:t>
      </w:r>
    </w:p>
    <w:p w14:paraId="00000016" w14:textId="77777777" w:rsidR="00D41E8A" w:rsidRDefault="00EE1404">
      <w:pPr>
        <w:numPr>
          <w:ilvl w:val="1"/>
          <w:numId w:val="1"/>
        </w:numPr>
        <w:spacing w:before="240" w:after="120" w:line="240" w:lineRule="auto"/>
        <w:jc w:val="both"/>
      </w:pPr>
      <w:r>
        <w:rPr>
          <w:rFonts w:ascii="Arial" w:eastAsia="Arial" w:hAnsi="Arial" w:cs="Arial"/>
          <w:color w:val="000000"/>
          <w:sz w:val="24"/>
          <w:szCs w:val="24"/>
          <w:highlight w:val="white"/>
        </w:rPr>
        <w:t xml:space="preserve">The current timeline </w:t>
      </w:r>
      <w:r>
        <w:rPr>
          <w:rFonts w:ascii="Arial" w:eastAsia="Arial" w:hAnsi="Arial" w:cs="Arial"/>
          <w:sz w:val="24"/>
          <w:szCs w:val="24"/>
          <w:highlight w:val="white"/>
        </w:rPr>
        <w:t>for the C</w:t>
      </w:r>
      <w:r>
        <w:rPr>
          <w:rFonts w:ascii="Arial" w:eastAsia="Arial" w:hAnsi="Arial" w:cs="Arial"/>
          <w:sz w:val="24"/>
          <w:szCs w:val="24"/>
          <w:highlight w:val="white"/>
        </w:rPr>
        <w:t>abinet</w:t>
      </w:r>
      <w:r>
        <w:rPr>
          <w:rFonts w:ascii="Arial" w:eastAsia="Arial" w:hAnsi="Arial" w:cs="Arial"/>
          <w:color w:val="000000"/>
          <w:sz w:val="24"/>
          <w:szCs w:val="24"/>
          <w:highlight w:val="white"/>
        </w:rPr>
        <w:t xml:space="preserve"> Office to onboard to the new system is expected to be around June 2026. Detailed design and build stages are expected to run throughout the majority of 2025 as we will then move into testing phase towards the end of the year and start cutover works </w:t>
      </w:r>
      <w:r>
        <w:rPr>
          <w:rFonts w:ascii="Arial" w:eastAsia="Arial" w:hAnsi="Arial" w:cs="Arial"/>
          <w:color w:val="000000"/>
          <w:sz w:val="24"/>
          <w:szCs w:val="24"/>
          <w:highlight w:val="white"/>
        </w:rPr>
        <w:t xml:space="preserve">in early 2026 for onboard around June the same year. </w:t>
      </w:r>
    </w:p>
    <w:p w14:paraId="00000017" w14:textId="77777777" w:rsidR="00D41E8A" w:rsidRDefault="00EE1404">
      <w:pPr>
        <w:numPr>
          <w:ilvl w:val="1"/>
          <w:numId w:val="1"/>
        </w:numPr>
        <w:spacing w:before="240" w:after="120" w:line="240" w:lineRule="auto"/>
        <w:jc w:val="both"/>
      </w:pPr>
      <w:r>
        <w:rPr>
          <w:rFonts w:ascii="Arial" w:eastAsia="Arial" w:hAnsi="Arial" w:cs="Arial"/>
          <w:color w:val="000000"/>
          <w:sz w:val="24"/>
          <w:szCs w:val="24"/>
          <w:highlight w:val="white"/>
        </w:rPr>
        <w:t>As this is a very complex multiple department programme led by the Department for Science Innovation and Technology, we only have a detailed plan (for what this means for Cabinet Office as the first mov</w:t>
      </w:r>
      <w:r>
        <w:rPr>
          <w:rFonts w:ascii="Arial" w:eastAsia="Arial" w:hAnsi="Arial" w:cs="Arial"/>
          <w:color w:val="000000"/>
          <w:sz w:val="24"/>
          <w:szCs w:val="24"/>
          <w:highlight w:val="white"/>
        </w:rPr>
        <w:t>er department) at present for design and build phases. To ensure we have the necessary core support throughout the detailed design and build phase of the programme, we will be seeking a fixed price from suppliers for continued support throughout this extre</w:t>
      </w:r>
      <w:r>
        <w:rPr>
          <w:rFonts w:ascii="Arial" w:eastAsia="Arial" w:hAnsi="Arial" w:cs="Arial"/>
          <w:color w:val="000000"/>
          <w:sz w:val="24"/>
          <w:szCs w:val="24"/>
          <w:highlight w:val="white"/>
        </w:rPr>
        <w:t>mely key programme phase. In addition to this we will be seeking average rate card costs so that we can draw down through ‘statements of work' additional/ further specialist related support for the latter parts of the programme when our understanding of wh</w:t>
      </w:r>
      <w:r>
        <w:rPr>
          <w:rFonts w:ascii="Arial" w:eastAsia="Arial" w:hAnsi="Arial" w:cs="Arial"/>
          <w:color w:val="000000"/>
          <w:sz w:val="24"/>
          <w:szCs w:val="24"/>
          <w:highlight w:val="white"/>
        </w:rPr>
        <w:t>at we need to do as a department in the Matrix Cluster becomes clearer.</w:t>
      </w:r>
    </w:p>
    <w:p w14:paraId="00000018" w14:textId="77777777" w:rsidR="00D41E8A" w:rsidRDefault="00EE1404">
      <w:pPr>
        <w:numPr>
          <w:ilvl w:val="1"/>
          <w:numId w:val="1"/>
        </w:numPr>
        <w:spacing w:line="240" w:lineRule="auto"/>
        <w:jc w:val="both"/>
      </w:pPr>
      <w:r>
        <w:rPr>
          <w:rFonts w:ascii="Arial" w:eastAsia="Arial" w:hAnsi="Arial" w:cs="Arial"/>
          <w:color w:val="000000"/>
          <w:sz w:val="24"/>
          <w:szCs w:val="24"/>
          <w:highlight w:val="white"/>
        </w:rPr>
        <w:t>Following the successful delivery of the first phase fixed price deliverables outlined Schedule 13 (to the end of Architect and Configure), outcomes will be delivered for the remainder</w:t>
      </w:r>
      <w:r>
        <w:rPr>
          <w:rFonts w:ascii="Arial" w:eastAsia="Arial" w:hAnsi="Arial" w:cs="Arial"/>
          <w:color w:val="000000"/>
          <w:sz w:val="24"/>
          <w:szCs w:val="24"/>
          <w:highlight w:val="white"/>
        </w:rPr>
        <w:t xml:space="preserve"> of the contract in the Testing, Deploy/ Cutover and Hypercare phases and BAU support for our transition from Oracle and any interim improvements to our current (Oracle) system via a Statement of Works mechanism. </w:t>
      </w:r>
    </w:p>
    <w:p w14:paraId="00000019" w14:textId="77777777" w:rsidR="00D41E8A" w:rsidRDefault="00EE1404">
      <w:pPr>
        <w:numPr>
          <w:ilvl w:val="1"/>
          <w:numId w:val="1"/>
        </w:numPr>
        <w:spacing w:line="240" w:lineRule="auto"/>
        <w:jc w:val="both"/>
      </w:pPr>
      <w:r>
        <w:rPr>
          <w:rFonts w:ascii="Arial" w:eastAsia="Arial" w:hAnsi="Arial" w:cs="Arial"/>
          <w:color w:val="000000"/>
          <w:sz w:val="24"/>
          <w:szCs w:val="24"/>
          <w:highlight w:val="white"/>
        </w:rPr>
        <w:t>SoW Deliverables are likely to fall within</w:t>
      </w:r>
      <w:r>
        <w:rPr>
          <w:rFonts w:ascii="Arial" w:eastAsia="Arial" w:hAnsi="Arial" w:cs="Arial"/>
          <w:color w:val="000000"/>
          <w:sz w:val="24"/>
          <w:szCs w:val="24"/>
          <w:highlight w:val="white"/>
        </w:rPr>
        <w:t xml:space="preserve"> the scope of the seven major work stream areas outlined below: </w:t>
      </w:r>
    </w:p>
    <w:p w14:paraId="0000001A" w14:textId="77777777" w:rsidR="00D41E8A" w:rsidRDefault="00EE1404">
      <w:pPr>
        <w:keepNext/>
        <w:numPr>
          <w:ilvl w:val="2"/>
          <w:numId w:val="1"/>
        </w:numPr>
        <w:spacing w:after="0"/>
        <w:rPr>
          <w:rFonts w:ascii="Arial" w:eastAsia="Arial" w:hAnsi="Arial" w:cs="Arial"/>
          <w:b/>
          <w:sz w:val="24"/>
          <w:szCs w:val="24"/>
        </w:rPr>
      </w:pPr>
      <w:r>
        <w:rPr>
          <w:rFonts w:ascii="Arial" w:eastAsia="Arial" w:hAnsi="Arial" w:cs="Arial"/>
          <w:b/>
          <w:sz w:val="24"/>
          <w:szCs w:val="24"/>
          <w:highlight w:val="white"/>
        </w:rPr>
        <w:lastRenderedPageBreak/>
        <w:t xml:space="preserve">Technology; </w:t>
      </w:r>
    </w:p>
    <w:p w14:paraId="0000001B" w14:textId="77777777" w:rsidR="00D41E8A" w:rsidRDefault="00EE1404">
      <w:pPr>
        <w:keepNext/>
        <w:numPr>
          <w:ilvl w:val="2"/>
          <w:numId w:val="1"/>
        </w:numPr>
        <w:spacing w:after="0"/>
        <w:rPr>
          <w:rFonts w:ascii="Arial" w:eastAsia="Arial" w:hAnsi="Arial" w:cs="Arial"/>
          <w:b/>
          <w:sz w:val="24"/>
          <w:szCs w:val="24"/>
        </w:rPr>
      </w:pPr>
      <w:r>
        <w:rPr>
          <w:rFonts w:ascii="Arial" w:eastAsia="Arial" w:hAnsi="Arial" w:cs="Arial"/>
          <w:b/>
          <w:sz w:val="24"/>
          <w:szCs w:val="24"/>
          <w:highlight w:val="white"/>
        </w:rPr>
        <w:t xml:space="preserve">Functional HR;  </w:t>
      </w:r>
    </w:p>
    <w:p w14:paraId="0000001C" w14:textId="77777777" w:rsidR="00D41E8A" w:rsidRDefault="00EE1404">
      <w:pPr>
        <w:keepNext/>
        <w:numPr>
          <w:ilvl w:val="2"/>
          <w:numId w:val="1"/>
        </w:numPr>
        <w:spacing w:after="0"/>
        <w:rPr>
          <w:rFonts w:ascii="Arial" w:eastAsia="Arial" w:hAnsi="Arial" w:cs="Arial"/>
          <w:b/>
          <w:sz w:val="24"/>
          <w:szCs w:val="24"/>
        </w:rPr>
      </w:pPr>
      <w:r>
        <w:rPr>
          <w:rFonts w:ascii="Arial" w:eastAsia="Arial" w:hAnsi="Arial" w:cs="Arial"/>
          <w:b/>
          <w:sz w:val="24"/>
          <w:szCs w:val="24"/>
          <w:highlight w:val="white"/>
        </w:rPr>
        <w:t xml:space="preserve">Functional Finance;  </w:t>
      </w:r>
    </w:p>
    <w:p w14:paraId="0000001D" w14:textId="77777777" w:rsidR="00D41E8A" w:rsidRDefault="00EE1404">
      <w:pPr>
        <w:keepNext/>
        <w:numPr>
          <w:ilvl w:val="2"/>
          <w:numId w:val="1"/>
        </w:numPr>
        <w:spacing w:after="0"/>
        <w:rPr>
          <w:rFonts w:ascii="Arial" w:eastAsia="Arial" w:hAnsi="Arial" w:cs="Arial"/>
          <w:b/>
          <w:sz w:val="24"/>
          <w:szCs w:val="24"/>
        </w:rPr>
      </w:pPr>
      <w:r>
        <w:rPr>
          <w:rFonts w:ascii="Arial" w:eastAsia="Arial" w:hAnsi="Arial" w:cs="Arial"/>
          <w:b/>
          <w:sz w:val="24"/>
          <w:szCs w:val="24"/>
          <w:highlight w:val="white"/>
        </w:rPr>
        <w:t xml:space="preserve">Functional Payroll; </w:t>
      </w:r>
    </w:p>
    <w:p w14:paraId="0000001E" w14:textId="77777777" w:rsidR="00D41E8A" w:rsidRDefault="00EE1404">
      <w:pPr>
        <w:keepNext/>
        <w:numPr>
          <w:ilvl w:val="2"/>
          <w:numId w:val="1"/>
        </w:numPr>
        <w:spacing w:after="0"/>
        <w:rPr>
          <w:rFonts w:ascii="Arial" w:eastAsia="Arial" w:hAnsi="Arial" w:cs="Arial"/>
          <w:b/>
          <w:sz w:val="24"/>
          <w:szCs w:val="24"/>
        </w:rPr>
      </w:pPr>
      <w:r>
        <w:rPr>
          <w:rFonts w:ascii="Arial" w:eastAsia="Arial" w:hAnsi="Arial" w:cs="Arial"/>
          <w:b/>
          <w:sz w:val="24"/>
          <w:szCs w:val="24"/>
          <w:highlight w:val="white"/>
        </w:rPr>
        <w:t>Functional Reporting;</w:t>
      </w:r>
    </w:p>
    <w:p w14:paraId="0000001F" w14:textId="77777777" w:rsidR="00D41E8A" w:rsidRDefault="00EE1404">
      <w:pPr>
        <w:keepNext/>
        <w:numPr>
          <w:ilvl w:val="2"/>
          <w:numId w:val="1"/>
        </w:numPr>
        <w:spacing w:after="0"/>
        <w:rPr>
          <w:rFonts w:ascii="Arial" w:eastAsia="Arial" w:hAnsi="Arial" w:cs="Arial"/>
          <w:b/>
          <w:sz w:val="24"/>
          <w:szCs w:val="24"/>
        </w:rPr>
      </w:pPr>
      <w:r>
        <w:rPr>
          <w:rFonts w:ascii="Arial" w:eastAsia="Arial" w:hAnsi="Arial" w:cs="Arial"/>
          <w:b/>
          <w:sz w:val="24"/>
          <w:szCs w:val="24"/>
          <w:highlight w:val="white"/>
        </w:rPr>
        <w:t>Change &amp; Engagement; and</w:t>
      </w:r>
    </w:p>
    <w:p w14:paraId="00000020" w14:textId="77777777" w:rsidR="00D41E8A" w:rsidRDefault="00EE1404">
      <w:pPr>
        <w:keepNext/>
        <w:numPr>
          <w:ilvl w:val="2"/>
          <w:numId w:val="1"/>
        </w:numPr>
        <w:spacing w:after="0"/>
        <w:rPr>
          <w:rFonts w:ascii="Arial" w:eastAsia="Arial" w:hAnsi="Arial" w:cs="Arial"/>
          <w:b/>
          <w:sz w:val="24"/>
          <w:szCs w:val="24"/>
        </w:rPr>
      </w:pPr>
      <w:r>
        <w:rPr>
          <w:rFonts w:ascii="Arial" w:eastAsia="Arial" w:hAnsi="Arial" w:cs="Arial"/>
          <w:b/>
          <w:color w:val="000000"/>
          <w:sz w:val="24"/>
          <w:szCs w:val="24"/>
          <w:highlight w:val="white"/>
        </w:rPr>
        <w:t>Data Migration (including cleanse - detailed illustration below)</w:t>
      </w:r>
    </w:p>
    <w:p w14:paraId="00000021" w14:textId="77777777" w:rsidR="00D41E8A" w:rsidRDefault="00D41E8A">
      <w:pPr>
        <w:spacing w:after="0" w:line="240" w:lineRule="auto"/>
        <w:ind w:left="720"/>
        <w:rPr>
          <w:rFonts w:ascii="Arial" w:eastAsia="Arial" w:hAnsi="Arial" w:cs="Arial"/>
        </w:rPr>
      </w:pPr>
    </w:p>
    <w:p w14:paraId="00000022" w14:textId="77777777" w:rsidR="00D41E8A" w:rsidRDefault="00D41E8A">
      <w:pPr>
        <w:spacing w:after="0" w:line="240" w:lineRule="auto"/>
        <w:rPr>
          <w:rFonts w:ascii="Arial" w:eastAsia="Arial" w:hAnsi="Arial" w:cs="Arial"/>
        </w:rPr>
      </w:pPr>
    </w:p>
    <w:p w14:paraId="00000023" w14:textId="77777777" w:rsidR="00D41E8A" w:rsidRDefault="00EE1404">
      <w:pPr>
        <w:numPr>
          <w:ilvl w:val="1"/>
          <w:numId w:val="1"/>
        </w:numPr>
        <w:spacing w:line="240" w:lineRule="auto"/>
        <w:jc w:val="both"/>
      </w:pPr>
      <w:r>
        <w:rPr>
          <w:rFonts w:ascii="Arial" w:eastAsia="Arial" w:hAnsi="Arial" w:cs="Arial"/>
          <w:color w:val="000000"/>
          <w:sz w:val="24"/>
          <w:szCs w:val="24"/>
          <w:highlight w:val="white"/>
        </w:rPr>
        <w:t>The parties will execute a SoW Form for each work package, which will include specific details of outcomes required under that SoW as well as details of location and specific service level agreements, performance measures and KPIs in regard to that specifi</w:t>
      </w:r>
      <w:r>
        <w:rPr>
          <w:rFonts w:ascii="Arial" w:eastAsia="Arial" w:hAnsi="Arial" w:cs="Arial"/>
          <w:color w:val="000000"/>
          <w:sz w:val="24"/>
          <w:szCs w:val="24"/>
          <w:highlight w:val="white"/>
        </w:rPr>
        <w:t xml:space="preserve">c SoW. </w:t>
      </w:r>
    </w:p>
    <w:p w14:paraId="00000027" w14:textId="0A29BF29" w:rsidR="00D41E8A" w:rsidRPr="00EC0807" w:rsidRDefault="00EE1404" w:rsidP="00EC0807">
      <w:pPr>
        <w:numPr>
          <w:ilvl w:val="1"/>
          <w:numId w:val="1"/>
        </w:numPr>
        <w:pBdr>
          <w:top w:val="nil"/>
          <w:left w:val="nil"/>
          <w:bottom w:val="nil"/>
          <w:right w:val="nil"/>
          <w:between w:val="nil"/>
        </w:pBdr>
        <w:tabs>
          <w:tab w:val="left" w:pos="1134"/>
        </w:tabs>
        <w:spacing w:before="240" w:after="120" w:line="240" w:lineRule="auto"/>
        <w:jc w:val="both"/>
        <w:rPr>
          <w:rFonts w:ascii="Arial" w:eastAsia="Arial" w:hAnsi="Arial" w:cs="Arial"/>
          <w:smallCaps/>
          <w:color w:val="000000"/>
          <w:sz w:val="24"/>
          <w:szCs w:val="24"/>
        </w:rPr>
      </w:pPr>
      <w:bookmarkStart w:id="4" w:name="_GoBack"/>
      <w:bookmarkEnd w:id="4"/>
      <w:r w:rsidRPr="00EC0807">
        <w:rPr>
          <w:rFonts w:ascii="Arial" w:eastAsia="Arial" w:hAnsi="Arial" w:cs="Arial"/>
          <w:color w:val="000000"/>
          <w:sz w:val="24"/>
          <w:szCs w:val="24"/>
          <w:highlight w:val="white"/>
        </w:rPr>
        <w:t xml:space="preserve">All roles provided under any SoW Form issued under this Contract will be mapped back to </w:t>
      </w:r>
      <w:r w:rsidRPr="00EC0807">
        <w:rPr>
          <w:rFonts w:ascii="Arial" w:eastAsia="Arial" w:hAnsi="Arial" w:cs="Arial"/>
          <w:color w:val="000000"/>
          <w:sz w:val="24"/>
          <w:szCs w:val="24"/>
        </w:rPr>
        <w:t>SFIA Grades 3 to 7 inclusive. The sole exception to this may be any Apprentices or trainees who are provided at the Supplier’s cost, who may be SFIA Grade 1 or</w:t>
      </w:r>
      <w:r w:rsidRPr="00EC0807">
        <w:rPr>
          <w:rFonts w:ascii="Arial" w:eastAsia="Arial" w:hAnsi="Arial" w:cs="Arial"/>
          <w:color w:val="000000"/>
          <w:sz w:val="24"/>
          <w:szCs w:val="24"/>
        </w:rPr>
        <w:t xml:space="preserve"> 2.</w:t>
      </w:r>
    </w:p>
    <w:sectPr w:rsidR="00D41E8A" w:rsidRPr="00EC0807">
      <w:headerReference w:type="default" r:id="rId8"/>
      <w:footerReference w:type="default" r:id="rId9"/>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ED01F" w14:textId="77777777" w:rsidR="00EE1404" w:rsidRDefault="00EE1404">
      <w:pPr>
        <w:spacing w:after="0" w:line="240" w:lineRule="auto"/>
      </w:pPr>
      <w:r>
        <w:separator/>
      </w:r>
    </w:p>
  </w:endnote>
  <w:endnote w:type="continuationSeparator" w:id="0">
    <w:p w14:paraId="6F78991A" w14:textId="77777777" w:rsidR="00EE1404" w:rsidRDefault="00EE1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D41E8A" w:rsidRDefault="00D41E8A">
    <w:pPr>
      <w:tabs>
        <w:tab w:val="center" w:pos="4513"/>
        <w:tab w:val="right" w:pos="9026"/>
      </w:tabs>
      <w:spacing w:after="0"/>
      <w:rPr>
        <w:rFonts w:ascii="Arial" w:eastAsia="Arial" w:hAnsi="Arial" w:cs="Arial"/>
        <w:sz w:val="20"/>
        <w:szCs w:val="20"/>
      </w:rPr>
    </w:pPr>
  </w:p>
  <w:p w14:paraId="0000002D" w14:textId="77777777" w:rsidR="00D41E8A" w:rsidRDefault="00EE140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p>
  <w:p w14:paraId="0000002E" w14:textId="77777777" w:rsidR="00D41E8A" w:rsidRDefault="00EE1404">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2F" w14:textId="77777777" w:rsidR="00D41E8A" w:rsidRDefault="00EE14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9783A" w14:textId="77777777" w:rsidR="00EE1404" w:rsidRDefault="00EE1404">
      <w:pPr>
        <w:spacing w:after="0" w:line="240" w:lineRule="auto"/>
      </w:pPr>
      <w:r>
        <w:separator/>
      </w:r>
    </w:p>
  </w:footnote>
  <w:footnote w:type="continuationSeparator" w:id="0">
    <w:p w14:paraId="702D0079" w14:textId="77777777" w:rsidR="00EE1404" w:rsidRDefault="00EE1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7777777" w:rsidR="00D41E8A" w:rsidRDefault="00EE14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29" w14:textId="77777777" w:rsidR="00D41E8A" w:rsidRDefault="00EE14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2A" w14:textId="77777777" w:rsidR="00D41E8A" w:rsidRDefault="00EE140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14:paraId="0000002B" w14:textId="77777777" w:rsidR="00D41E8A" w:rsidRDefault="00D41E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562E05"/>
    <w:multiLevelType w:val="multilevel"/>
    <w:tmpl w:val="40406816"/>
    <w:lvl w:ilvl="0">
      <w:start w:val="1"/>
      <w:numFmt w:val="decimal"/>
      <w:pStyle w:val="GPSL1CLAUSEHEADING"/>
      <w:lvlText w:val="%1."/>
      <w:lvlJc w:val="left"/>
      <w:pPr>
        <w:ind w:left="720" w:hanging="720"/>
      </w:pPr>
      <w:rPr>
        <w:color w:val="000000"/>
        <w:u w:val="none"/>
      </w:rPr>
    </w:lvl>
    <w:lvl w:ilvl="1">
      <w:start w:val="1"/>
      <w:numFmt w:val="decimal"/>
      <w:pStyle w:val="GPSL2NumberedBoldHeading"/>
      <w:lvlText w:val="%1.%2"/>
      <w:lvlJc w:val="left"/>
      <w:pPr>
        <w:ind w:left="720" w:hanging="720"/>
      </w:pPr>
      <w:rPr>
        <w:rFonts w:ascii="Arial" w:eastAsia="Arial" w:hAnsi="Arial" w:cs="Arial"/>
        <w:b w:val="0"/>
        <w:color w:val="000000"/>
        <w:sz w:val="24"/>
        <w:szCs w:val="24"/>
        <w:u w:val="none"/>
      </w:rPr>
    </w:lvl>
    <w:lvl w:ilvl="2">
      <w:start w:val="1"/>
      <w:numFmt w:val="decimal"/>
      <w:pStyle w:val="GPSL3numberedclause"/>
      <w:lvlText w:val="%1.%2.%3"/>
      <w:lvlJc w:val="left"/>
      <w:pPr>
        <w:ind w:left="1800" w:hanging="1080"/>
      </w:pPr>
      <w:rPr>
        <w:color w:val="000000"/>
        <w:u w:val="none"/>
      </w:rPr>
    </w:lvl>
    <w:lvl w:ilvl="3">
      <w:start w:val="1"/>
      <w:numFmt w:val="decimal"/>
      <w:pStyle w:val="GPSL4numberedclause"/>
      <w:lvlText w:val="%1.%2.%3.%4"/>
      <w:lvlJc w:val="left"/>
      <w:pPr>
        <w:ind w:left="2880" w:hanging="1080"/>
      </w:pPr>
      <w:rPr>
        <w:u w:val="none"/>
      </w:rPr>
    </w:lvl>
    <w:lvl w:ilvl="4">
      <w:start w:val="1"/>
      <w:numFmt w:val="lowerLetter"/>
      <w:pStyle w:val="GPSL5numberedclause"/>
      <w:lvlText w:val="(%5)"/>
      <w:lvlJc w:val="left"/>
      <w:pPr>
        <w:ind w:left="3600" w:hanging="720"/>
      </w:pPr>
      <w:rPr>
        <w:u w:val="none"/>
      </w:rPr>
    </w:lvl>
    <w:lvl w:ilvl="5">
      <w:start w:val="1"/>
      <w:numFmt w:val="lowerRoman"/>
      <w:pStyle w:val="GPSL6numbered"/>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E8A"/>
    <w:rsid w:val="00231564"/>
    <w:rsid w:val="00D41E8A"/>
    <w:rsid w:val="00EC0807"/>
    <w:rsid w:val="00EE14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6795"/>
  <w15:docId w15:val="{D2696130-A9A8-4FEE-84F1-B32B0309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2pVDyyMRblTLeAIOLXs0OMvgPw==">CgMxLjAyCGguZ2pkZ3hzMg1oLmxhMGw0NmQzZ3Q2MgloLjNkeTZ2a20yCWguMXQzaDVzZjgAciExR0dKT2F0TlExOTV6cklCNkNSaTBaRFlnZ1pfdU1zcUg=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Julia Medd</cp:lastModifiedBy>
  <cp:revision>3</cp:revision>
  <dcterms:created xsi:type="dcterms:W3CDTF">2025-02-07T14:02:00Z</dcterms:created>
  <dcterms:modified xsi:type="dcterms:W3CDTF">2025-02-07T14:03:00Z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